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دراسة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جدوى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خدمي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445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8130"/>
        <w:tblGridChange w:id="0">
          <w:tblGrid>
            <w:gridCol w:w="3315"/>
            <w:gridCol w:w="8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الملخص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التنفيذي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إنشاء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متكامل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تلبية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المحلي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متنوعة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الرعاية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النفسي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والتوجيه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5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غطي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رئيسية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شاملة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الفحوصات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الاستشارات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وتوفير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لمساعدة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مهاراتهم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وخبراتهم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والوصول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فرص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وتعزيز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الروابط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البناء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فعاليات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مجتمعية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الندوات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والمؤتمرات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استندت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الجدوى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الأبحاث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والدراسات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تناولت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المشاريع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الإطار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وكذلك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واستطلاعات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لتقييم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9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الجدوى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ونتائج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ستند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ثبت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حاجة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الجمهور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منطقة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(......)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عكس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إضفاء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تحسينات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ملموسة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حياة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والمجتمع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ككل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وصف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الخدمة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تلبية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:-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0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الفحوصات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الدورية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0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الاستشارات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0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استشارات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فردية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وجماعية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لمساعدة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الضغوط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0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تدريبية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وورش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والمهنية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ثقافية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واجتماعية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أظهرت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هناك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متزايد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الرعاية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النفسي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دورات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وأظهرت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الاستبيانات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الميدانية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75%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المشاركين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أظهروا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رغبتهم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شاملة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وكذلك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أظهرت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كبيرة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المستهدفين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تعاني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نقص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للحصول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الوظائف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وخاصة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الشباب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وحديثي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التخرج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يعكس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الحاجة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الملحة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وبالتالي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يحظى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بقبول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واسع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المنطقة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والجمهور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يعزز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فرص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نجاحه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وزيادة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تأثيره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الموقع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سيتم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إنشاء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منطقة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(....)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منطقة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حيوية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يسهل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وسيتم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نقل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مخصصة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يستطيعون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ويحتاجون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عناية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الجانب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التقني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الفني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أنظمة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رقمية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لإدارة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سجلات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المرضى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وتسهيل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والاحتفاظ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لمتابعة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تطورات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إتاحة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تطبيقات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علاقات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crm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دفترة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مكن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حجز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والتعرف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المتاحة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بسهولة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الموارد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البشرية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والتشغيلية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يتطلب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الأدوات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والتقنية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فعال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:- </w:t>
            </w:r>
          </w:p>
          <w:p w:rsidR="00000000" w:rsidDel="00000000" w:rsidP="00000000" w:rsidRDefault="00000000" w:rsidRPr="00000000" w14:paraId="0000001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الأدوات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وتشمل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الضغط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وأجهزة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فحص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السكر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وأجهزة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توليد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الأكسجين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والمضخات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وضمادات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الخيوط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الجراحية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التدريب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سيتم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تدريسها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للمرضى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والعملاء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أنظمة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الحجز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لجعل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سهولة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bidi w:val="1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العمالة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أطباء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وأخصائيين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خبرة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الرعاية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النفسي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توفير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استشاريين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نفسيين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مؤهلين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مدربين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موارد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بشرية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محترفين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إداريين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لتنظيم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وإدارة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اليومية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بالمركز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وعوامله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الجمهور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هم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:- 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طارئة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أصحاب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المزمنة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يحتاجون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دورية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الأفراد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اضطرابات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العائلات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تبحث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شامل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لأسرتها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لتحسين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حياتهم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F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المنافسون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الرئيسيون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:-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9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مراكز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المحلية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المنطقة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ولكن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بأسعار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مرتفعة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منظمات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المدنى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توفر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نفسي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مجاني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لكنها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تعاني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نقص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موارد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التمويل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مراكز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التدريب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دورات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تدريبية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ولكن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بموارد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محدودة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 </w:t>
            </w:r>
          </w:p>
          <w:p w:rsidR="00000000" w:rsidDel="00000000" w:rsidP="00000000" w:rsidRDefault="00000000" w:rsidRPr="00000000" w14:paraId="00000034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التسويق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ستشمل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للوصول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الجمهور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:-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لنشر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المتاحة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استهداف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لجذب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الجمهور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إرسال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نشرات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إخبارية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شهرية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الـ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sms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تحتوي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ودعوات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لحضور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الفعاليات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إعلانات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الطرق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المناطق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الحيوية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محطات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والأسواق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للإعلان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والحرص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عبارات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جذابة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اللوحات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ابدأ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رحلة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الشفاء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نفسية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حياة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..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نحن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هنا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لدعمك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استعد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لاستعادة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طاقتك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خدماتنا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تدعمك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صنع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رحلتك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فعاليات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مجانية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الاستشارات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المجانية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لجذب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الزمني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اللازم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لإكمال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:-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يناير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2025 :-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وتطوير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التفصيلية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فبراير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ومارس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2025:-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الوظائف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وتوظيف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الخبرات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المتكافئة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يقدمها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أبريل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ومايو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2025:-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وتدريب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وتوفير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يونيو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2025:-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إطلاق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وبدء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للمشروع</w:t>
            </w:r>
          </w:p>
          <w:p w:rsidR="00000000" w:rsidDel="00000000" w:rsidP="00000000" w:rsidRDefault="00000000" w:rsidRPr="00000000" w14:paraId="0000004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المتوقعة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1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إيرادات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الرعاية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النفسي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لدراسات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المتوقع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تتراوح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الرسوم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50-100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7">
            <w:pPr>
              <w:bidi w:val="1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النفقات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المتوقعة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تكاليف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التوظيف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تكاليف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المعدات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تكاليف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التسويق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04C">
            <w:pPr>
              <w:bidi w:val="1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تقديرات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والنفقات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1"/>
              </w:rPr>
              <w:t xml:space="preserve">:- </w:t>
            </w:r>
          </w:p>
          <w:p w:rsidR="00000000" w:rsidDel="00000000" w:rsidP="00000000" w:rsidRDefault="00000000" w:rsidRPr="00000000" w14:paraId="0000004D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200,000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180,000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1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الربح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20,000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250,000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5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200,000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الربح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50,000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300,000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النفقات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220,000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bidi w:val="1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الربح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 80,000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النتائج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تشير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لديه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إمكانيات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ربحية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جيدة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متزايد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يحقق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نمو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وأرباح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مستدامة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المدى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الطويل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التوصيات</w:t>
            </w:r>
          </w:p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6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التوظيف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والتدريب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جاهزية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إطلاق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تأمين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التمويل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الخارجي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مقترحات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للحكومة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والمستثمرين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والبنوك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للحصول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مالي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إضافي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إنشاء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لمراقبة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الخطوات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القادمة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7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التوظيف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والتدريب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الأشهر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القليلة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القادمة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إطلاق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الحملة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موعد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bidi w:val="1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أشهر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الآن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دوري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الاستدامة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والنجاح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daftra.com</dc:creator>
</cp:coreProperties>
</file>